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F29D" w14:textId="5FEA2178" w:rsidR="00B31EB5" w:rsidRDefault="00B31EB5" w:rsidP="00B31EB5"/>
    <w:p w14:paraId="3E82F1B2" w14:textId="7691924C" w:rsidR="00512DE3" w:rsidRDefault="00B31EB5" w:rsidP="00B31EB5">
      <w:pPr>
        <w:jc w:val="center"/>
      </w:pPr>
      <w:r>
        <w:t xml:space="preserve">Co-curricular Requirements </w:t>
      </w:r>
    </w:p>
    <w:p w14:paraId="53A0C128" w14:textId="4C611A86" w:rsidR="00B31EB5" w:rsidRDefault="00B31EB5" w:rsidP="00B31EB5">
      <w:pPr>
        <w:jc w:val="center"/>
      </w:pPr>
      <w:r>
        <w:t xml:space="preserve">University of Utah College of Pharmacy </w:t>
      </w:r>
    </w:p>
    <w:p w14:paraId="4443568E" w14:textId="665C5130" w:rsidR="00B31EB5" w:rsidRDefault="00B31EB5" w:rsidP="00B31EB5">
      <w:pPr>
        <w:jc w:val="center"/>
      </w:pPr>
    </w:p>
    <w:p w14:paraId="7EA382D7" w14:textId="44596CDC" w:rsidR="00B31EB5" w:rsidRPr="00EF3228" w:rsidRDefault="00626204" w:rsidP="00B31EB5">
      <w:pPr>
        <w:rPr>
          <w:sz w:val="22"/>
        </w:rPr>
      </w:pPr>
      <w:r w:rsidRPr="00EF3228">
        <w:rPr>
          <w:sz w:val="22"/>
        </w:rPr>
        <w:t>University of Utah College of Pharmacy s</w:t>
      </w:r>
      <w:r w:rsidR="00B31EB5" w:rsidRPr="00EF3228">
        <w:rPr>
          <w:sz w:val="22"/>
        </w:rPr>
        <w:t>tudent</w:t>
      </w:r>
      <w:r w:rsidRPr="00EF3228">
        <w:rPr>
          <w:sz w:val="22"/>
        </w:rPr>
        <w:t>s</w:t>
      </w:r>
      <w:r w:rsidR="00B31EB5" w:rsidRPr="00EF3228">
        <w:rPr>
          <w:sz w:val="22"/>
        </w:rPr>
        <w:t xml:space="preserve"> are required to participate in one “qualified” co-curricular activity per semester</w:t>
      </w:r>
      <w:r w:rsidR="00FF0B46" w:rsidRPr="00EF3228">
        <w:rPr>
          <w:sz w:val="22"/>
        </w:rPr>
        <w:t xml:space="preserve"> </w:t>
      </w:r>
      <w:r w:rsidR="00B31EB5" w:rsidRPr="00EF3228">
        <w:rPr>
          <w:sz w:val="22"/>
        </w:rPr>
        <w:t xml:space="preserve">per ACPE recommendations. Qualified cocurricular events must address one or more of the Key Elements in ACPE’s Accreditation Standards 3 &amp; 4 (listed below) and also involve active participation </w:t>
      </w:r>
      <w:r w:rsidR="00A01A95" w:rsidRPr="00EF3228">
        <w:rPr>
          <w:sz w:val="22"/>
        </w:rPr>
        <w:t>from</w:t>
      </w:r>
      <w:r w:rsidR="00B31EB5" w:rsidRPr="00EF3228">
        <w:rPr>
          <w:sz w:val="22"/>
        </w:rPr>
        <w:t xml:space="preserve"> the student. </w:t>
      </w:r>
    </w:p>
    <w:p w14:paraId="5B9F33BF" w14:textId="059117D5" w:rsidR="00237DDF" w:rsidRPr="00EF3228" w:rsidRDefault="00237DDF" w:rsidP="00B31EB5">
      <w:pPr>
        <w:rPr>
          <w:sz w:val="22"/>
        </w:rPr>
      </w:pPr>
    </w:p>
    <w:p w14:paraId="2A4BFA02" w14:textId="6D8795A4" w:rsidR="00237DDF" w:rsidRPr="00EF3228" w:rsidRDefault="00237DDF" w:rsidP="00B31EB5">
      <w:pPr>
        <w:rPr>
          <w:sz w:val="22"/>
        </w:rPr>
      </w:pPr>
      <w:r w:rsidRPr="00EF3228">
        <w:rPr>
          <w:sz w:val="22"/>
        </w:rPr>
        <w:t xml:space="preserve">Students should sign up for co-curricular activities using the COP co-curricular tracking system. Students will </w:t>
      </w:r>
      <w:r w:rsidR="00A01A95" w:rsidRPr="00EF3228">
        <w:rPr>
          <w:sz w:val="22"/>
        </w:rPr>
        <w:t xml:space="preserve">need to complete reflections after the event and discuss the reflections with their faculty mentors. </w:t>
      </w:r>
      <w:r w:rsidR="00FF0B46" w:rsidRPr="00EF3228">
        <w:rPr>
          <w:sz w:val="22"/>
        </w:rPr>
        <w:t xml:space="preserve">P1 and P2 </w:t>
      </w:r>
      <w:r w:rsidR="00A01A95" w:rsidRPr="00EF3228">
        <w:rPr>
          <w:sz w:val="22"/>
        </w:rPr>
        <w:t xml:space="preserve">students will need to submit the completed </w:t>
      </w:r>
      <w:r w:rsidR="002B4AFD" w:rsidRPr="00EF3228">
        <w:rPr>
          <w:sz w:val="22"/>
        </w:rPr>
        <w:t xml:space="preserve">reflection </w:t>
      </w:r>
      <w:r w:rsidR="00A01A95" w:rsidRPr="00EF3228">
        <w:rPr>
          <w:sz w:val="22"/>
        </w:rPr>
        <w:t>form to the Deans Office</w:t>
      </w:r>
      <w:r w:rsidR="00FF0B46" w:rsidRPr="00EF3228">
        <w:rPr>
          <w:sz w:val="22"/>
        </w:rPr>
        <w:t xml:space="preserve"> </w:t>
      </w:r>
      <w:r w:rsidR="0011709C">
        <w:rPr>
          <w:sz w:val="22"/>
        </w:rPr>
        <w:t>while</w:t>
      </w:r>
      <w:r w:rsidR="00FF0B46" w:rsidRPr="00EF3228">
        <w:rPr>
          <w:sz w:val="22"/>
        </w:rPr>
        <w:t xml:space="preserve"> P3</w:t>
      </w:r>
      <w:r w:rsidR="0011709C">
        <w:rPr>
          <w:sz w:val="22"/>
        </w:rPr>
        <w:t xml:space="preserve"> and P4</w:t>
      </w:r>
      <w:r w:rsidR="00FF0B46" w:rsidRPr="00EF3228">
        <w:rPr>
          <w:sz w:val="22"/>
        </w:rPr>
        <w:t xml:space="preserve"> students will submit </w:t>
      </w:r>
      <w:r w:rsidR="00EF3228" w:rsidRPr="00EF3228">
        <w:rPr>
          <w:sz w:val="22"/>
        </w:rPr>
        <w:t xml:space="preserve">completed </w:t>
      </w:r>
      <w:r w:rsidR="00FF0B46" w:rsidRPr="00EF3228">
        <w:rPr>
          <w:sz w:val="22"/>
        </w:rPr>
        <w:t>reflection</w:t>
      </w:r>
      <w:r w:rsidR="00EF3228" w:rsidRPr="00EF3228">
        <w:rPr>
          <w:sz w:val="22"/>
        </w:rPr>
        <w:t>s</w:t>
      </w:r>
      <w:r w:rsidR="00FF0B46" w:rsidRPr="00EF3228">
        <w:rPr>
          <w:sz w:val="22"/>
        </w:rPr>
        <w:t xml:space="preserve"> </w:t>
      </w:r>
      <w:r w:rsidR="00EF3228" w:rsidRPr="00EF3228">
        <w:rPr>
          <w:sz w:val="22"/>
        </w:rPr>
        <w:t>to</w:t>
      </w:r>
      <w:r w:rsidR="00FF0B46" w:rsidRPr="00EF3228">
        <w:rPr>
          <w:sz w:val="22"/>
        </w:rPr>
        <w:t xml:space="preserve"> the Professional Development Course</w:t>
      </w:r>
      <w:r w:rsidR="002B4AFD" w:rsidRPr="00EF3228">
        <w:rPr>
          <w:sz w:val="22"/>
        </w:rPr>
        <w:t>.</w:t>
      </w:r>
    </w:p>
    <w:p w14:paraId="02A48719" w14:textId="7CDF7C21" w:rsidR="00570F8C" w:rsidRPr="00EF3228" w:rsidRDefault="00570F8C" w:rsidP="00B31EB5">
      <w:pPr>
        <w:rPr>
          <w:sz w:val="22"/>
        </w:rPr>
      </w:pPr>
    </w:p>
    <w:p w14:paraId="1BACBDF0" w14:textId="449D812F" w:rsidR="00570F8C" w:rsidRPr="00EF3228" w:rsidRDefault="00570F8C" w:rsidP="00570F8C">
      <w:pPr>
        <w:rPr>
          <w:rFonts w:eastAsia="Times New Roman" w:cs="Times New Roman"/>
          <w:sz w:val="22"/>
          <w:u w:val="single"/>
        </w:rPr>
      </w:pPr>
      <w:r w:rsidRPr="00EF3228">
        <w:rPr>
          <w:rFonts w:eastAsia="Times New Roman" w:cs="Times New Roman"/>
          <w:sz w:val="22"/>
          <w:u w:val="single"/>
        </w:rPr>
        <w:t xml:space="preserve">ACPE Key Elements: </w:t>
      </w:r>
    </w:p>
    <w:p w14:paraId="4CDE1788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3.1. Problem solving – The graduate is able to identify problems; explore and prioritize potential strategies; and design, implement, and evaluate a viable solution. </w:t>
      </w:r>
    </w:p>
    <w:p w14:paraId="608A91F1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3.2. Education – The graduate is able to educate all audiences by determining the most effective and enduring ways to impart information and assess learning. </w:t>
      </w:r>
    </w:p>
    <w:p w14:paraId="0E4DA99E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3.3. Patient advocacy – The graduate is able to represent the patient’s best interests. </w:t>
      </w:r>
    </w:p>
    <w:p w14:paraId="064429F7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3.4. Interprofessional collaboration – The graduate is able to actively participate and engage as a healthcare team member by demonstrating mutual respect, understanding, and values to meet patient care needs. </w:t>
      </w:r>
    </w:p>
    <w:p w14:paraId="7EFD01DF" w14:textId="5470CBB8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>3.5. Cultural sensitivity – The graduate is able to recognize social determinants of health to diminish disparities and inequities in access to quality care. 3.6. Communication – The graduate is able to effectively communicate verbally and nonverbally when interacting with individuals, groups, and organizations.</w:t>
      </w:r>
    </w:p>
    <w:p w14:paraId="4A9D5D4A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4.1. Self-awareness – The graduate is able to examine and reflect on personal knowledge, skills, abilities, beliefs, biases, motivation, and emotions that could enhance or limit personal and professional growth. </w:t>
      </w:r>
    </w:p>
    <w:p w14:paraId="281BEF96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4.2. Leadership – The graduate is able to demonstrate responsibility for creating and achieving shared goals, regardless of position. </w:t>
      </w:r>
    </w:p>
    <w:p w14:paraId="20A3DDC4" w14:textId="77777777" w:rsidR="00570F8C" w:rsidRPr="00EF3228" w:rsidRDefault="00570F8C" w:rsidP="00570F8C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 xml:space="preserve">4.3. Innovation and entrepreneurship – The graduate is able to engage in innovative activities by using creative thinking to envision better ways of accomplishing professional goals. </w:t>
      </w:r>
    </w:p>
    <w:p w14:paraId="24AA0B15" w14:textId="497F5E3A" w:rsidR="00570F8C" w:rsidRPr="00EF3228" w:rsidRDefault="00570F8C" w:rsidP="00B31EB5">
      <w:pPr>
        <w:rPr>
          <w:rFonts w:eastAsia="Times New Roman" w:cs="Times New Roman"/>
          <w:sz w:val="22"/>
        </w:rPr>
      </w:pPr>
      <w:r w:rsidRPr="00EF3228">
        <w:rPr>
          <w:rFonts w:eastAsia="Times New Roman" w:cs="Times New Roman"/>
          <w:sz w:val="22"/>
        </w:rPr>
        <w:t>4.4. Professionalism – The graduate is able to exhibit behaviors and values that are consistent with the trust given to the profession by patients, other healthcare providers, and society.</w:t>
      </w:r>
    </w:p>
    <w:p w14:paraId="513AAD6F" w14:textId="531C6BCA" w:rsidR="00B31EB5" w:rsidRPr="00EF3228" w:rsidRDefault="00B31EB5" w:rsidP="00B31EB5">
      <w:pPr>
        <w:rPr>
          <w:sz w:val="22"/>
        </w:rPr>
      </w:pPr>
    </w:p>
    <w:p w14:paraId="046016E1" w14:textId="51B78DE8" w:rsidR="00B31EB5" w:rsidRPr="00EF3228" w:rsidRDefault="00B31EB5" w:rsidP="00B31EB5">
      <w:pPr>
        <w:rPr>
          <w:sz w:val="22"/>
          <w:u w:val="single"/>
        </w:rPr>
      </w:pPr>
      <w:r w:rsidRPr="00EF3228">
        <w:rPr>
          <w:sz w:val="22"/>
          <w:u w:val="single"/>
        </w:rPr>
        <w:t>Examples of Qualified Co-Curricular Activities</w:t>
      </w:r>
      <w:r w:rsidR="000C307C" w:rsidRPr="00EF3228">
        <w:rPr>
          <w:sz w:val="22"/>
          <w:u w:val="single"/>
        </w:rPr>
        <w:t>*</w:t>
      </w:r>
      <w:r w:rsidRPr="00EF3228">
        <w:rPr>
          <w:sz w:val="22"/>
          <w:u w:val="single"/>
        </w:rPr>
        <w:t xml:space="preserve">: </w:t>
      </w:r>
    </w:p>
    <w:p w14:paraId="58F6C7AA" w14:textId="420AA805" w:rsidR="00B31EB5" w:rsidRPr="00EF3228" w:rsidRDefault="00626204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>Public Health Outreach</w:t>
      </w:r>
      <w:r w:rsidR="00B31EB5" w:rsidRPr="00EF3228">
        <w:rPr>
          <w:sz w:val="22"/>
        </w:rPr>
        <w:t xml:space="preserve"> (</w:t>
      </w:r>
      <w:r w:rsidRPr="00EF3228">
        <w:rPr>
          <w:sz w:val="22"/>
        </w:rPr>
        <w:t xml:space="preserve">E.g. </w:t>
      </w:r>
      <w:proofErr w:type="spellStart"/>
      <w:r w:rsidR="00B31EB5" w:rsidRPr="00EF3228">
        <w:rPr>
          <w:sz w:val="22"/>
        </w:rPr>
        <w:t>Maliheh</w:t>
      </w:r>
      <w:proofErr w:type="spellEnd"/>
      <w:r w:rsidR="00B31EB5" w:rsidRPr="00EF3228">
        <w:rPr>
          <w:sz w:val="22"/>
        </w:rPr>
        <w:t xml:space="preserve">, Midvale, </w:t>
      </w:r>
      <w:proofErr w:type="spellStart"/>
      <w:r w:rsidR="00B31EB5" w:rsidRPr="00EF3228">
        <w:rPr>
          <w:sz w:val="22"/>
        </w:rPr>
        <w:t>PrEP</w:t>
      </w:r>
      <w:proofErr w:type="spellEnd"/>
      <w:r w:rsidR="00B31EB5" w:rsidRPr="00EF3228">
        <w:rPr>
          <w:sz w:val="22"/>
        </w:rPr>
        <w:t xml:space="preserve"> Clinic</w:t>
      </w:r>
      <w:r w:rsidRPr="00EF3228">
        <w:rPr>
          <w:sz w:val="22"/>
        </w:rPr>
        <w:t>, Flu Clinics, Health Fairs</w:t>
      </w:r>
      <w:r w:rsidR="00B31EB5" w:rsidRPr="00EF3228">
        <w:rPr>
          <w:sz w:val="22"/>
        </w:rPr>
        <w:t xml:space="preserve">) </w:t>
      </w:r>
    </w:p>
    <w:p w14:paraId="0FF86452" w14:textId="73EFA7F1" w:rsidR="00B31EB5" w:rsidRPr="00EF3228" w:rsidRDefault="00626204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Public Education Events (E.g. Naloxone training, Brown Bag Events, High School Educational Events) </w:t>
      </w:r>
    </w:p>
    <w:p w14:paraId="07FDCBBC" w14:textId="1ABC4ED1" w:rsidR="00B31EB5" w:rsidRPr="00EF3228" w:rsidRDefault="00B31EB5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>College Competitions (</w:t>
      </w:r>
      <w:r w:rsidR="00570F8C" w:rsidRPr="00EF3228">
        <w:rPr>
          <w:sz w:val="22"/>
        </w:rPr>
        <w:t xml:space="preserve">E.g. </w:t>
      </w:r>
      <w:proofErr w:type="spellStart"/>
      <w:r w:rsidRPr="00EF3228">
        <w:rPr>
          <w:sz w:val="22"/>
        </w:rPr>
        <w:t>APhA</w:t>
      </w:r>
      <w:proofErr w:type="spellEnd"/>
      <w:r w:rsidRPr="00EF3228">
        <w:rPr>
          <w:sz w:val="22"/>
        </w:rPr>
        <w:t xml:space="preserve"> Counseling Competition</w:t>
      </w:r>
      <w:r w:rsidR="00626204" w:rsidRPr="00EF3228">
        <w:rPr>
          <w:sz w:val="22"/>
        </w:rPr>
        <w:t xml:space="preserve">, </w:t>
      </w:r>
      <w:r w:rsidRPr="00EF3228">
        <w:rPr>
          <w:sz w:val="22"/>
        </w:rPr>
        <w:t xml:space="preserve">SSHP Clinical Skills Competition)  </w:t>
      </w:r>
    </w:p>
    <w:p w14:paraId="5CDBA383" w14:textId="07ED160F" w:rsidR="00570F8C" w:rsidRPr="00EF3228" w:rsidRDefault="00570F8C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Student Org </w:t>
      </w:r>
      <w:r w:rsidR="00626204" w:rsidRPr="00EF3228">
        <w:rPr>
          <w:sz w:val="22"/>
        </w:rPr>
        <w:t>S</w:t>
      </w:r>
      <w:r w:rsidRPr="00EF3228">
        <w:rPr>
          <w:sz w:val="22"/>
        </w:rPr>
        <w:t xml:space="preserve">ponsored </w:t>
      </w:r>
      <w:r w:rsidR="00626204" w:rsidRPr="00EF3228">
        <w:rPr>
          <w:sz w:val="22"/>
        </w:rPr>
        <w:t>J</w:t>
      </w:r>
      <w:r w:rsidRPr="00EF3228">
        <w:rPr>
          <w:sz w:val="22"/>
        </w:rPr>
        <w:t xml:space="preserve">ournal </w:t>
      </w:r>
      <w:r w:rsidR="00626204" w:rsidRPr="00EF3228">
        <w:rPr>
          <w:sz w:val="22"/>
        </w:rPr>
        <w:t>C</w:t>
      </w:r>
      <w:r w:rsidRPr="00EF3228">
        <w:rPr>
          <w:sz w:val="22"/>
        </w:rPr>
        <w:t xml:space="preserve">lubs </w:t>
      </w:r>
    </w:p>
    <w:p w14:paraId="6424F7D5" w14:textId="75A15C3C" w:rsidR="00570F8C" w:rsidRPr="00EF3228" w:rsidRDefault="00570F8C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Legislative Day </w:t>
      </w:r>
      <w:r w:rsidR="00934AB5" w:rsidRPr="00EF3228">
        <w:rPr>
          <w:sz w:val="22"/>
        </w:rPr>
        <w:t xml:space="preserve">and Legislative Advocacy </w:t>
      </w:r>
    </w:p>
    <w:p w14:paraId="13491D35" w14:textId="7080B7E4" w:rsidR="00570F8C" w:rsidRPr="00EF3228" w:rsidRDefault="00570F8C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Student Org </w:t>
      </w:r>
      <w:r w:rsidR="00626204" w:rsidRPr="00EF3228">
        <w:rPr>
          <w:sz w:val="22"/>
        </w:rPr>
        <w:t>S</w:t>
      </w:r>
      <w:r w:rsidRPr="00EF3228">
        <w:rPr>
          <w:sz w:val="22"/>
        </w:rPr>
        <w:t>ponsored Shadowin</w:t>
      </w:r>
      <w:r w:rsidR="00626204" w:rsidRPr="00EF3228">
        <w:rPr>
          <w:sz w:val="22"/>
        </w:rPr>
        <w:t xml:space="preserve">g Events </w:t>
      </w:r>
    </w:p>
    <w:p w14:paraId="151BA07D" w14:textId="7054455A" w:rsidR="00626204" w:rsidRPr="00EF3228" w:rsidRDefault="00626204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Health-related Community Service </w:t>
      </w:r>
    </w:p>
    <w:p w14:paraId="6BF589A0" w14:textId="33B67A11" w:rsidR="00626204" w:rsidRPr="00EF3228" w:rsidRDefault="00626204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Training/certifications (outside of PharmD curriculum) </w:t>
      </w:r>
    </w:p>
    <w:p w14:paraId="519F8A12" w14:textId="1EACD391" w:rsidR="00626204" w:rsidRPr="00EF3228" w:rsidRDefault="00626204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Professional Meetings </w:t>
      </w:r>
    </w:p>
    <w:p w14:paraId="673D1693" w14:textId="7B59281C" w:rsidR="00ED1E3F" w:rsidRPr="00EF3228" w:rsidRDefault="00ED1E3F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>Leadership positions</w:t>
      </w:r>
      <w:r w:rsidR="00F6578C" w:rsidRPr="00EF3228">
        <w:rPr>
          <w:sz w:val="22"/>
        </w:rPr>
        <w:t xml:space="preserve"> (planning student events, including social and fundraising events) </w:t>
      </w:r>
    </w:p>
    <w:p w14:paraId="2664B7FA" w14:textId="3D67CFF4" w:rsidR="00F6578C" w:rsidRPr="00EF3228" w:rsidRDefault="00F6578C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 xml:space="preserve">COS luncheons </w:t>
      </w:r>
    </w:p>
    <w:p w14:paraId="52A1996F" w14:textId="35D53497" w:rsidR="00F6578C" w:rsidRDefault="00F6578C" w:rsidP="00B31EB5">
      <w:pPr>
        <w:pStyle w:val="ListParagraph"/>
        <w:numPr>
          <w:ilvl w:val="0"/>
          <w:numId w:val="1"/>
        </w:numPr>
        <w:rPr>
          <w:sz w:val="22"/>
        </w:rPr>
      </w:pPr>
      <w:r w:rsidRPr="00EF3228">
        <w:rPr>
          <w:sz w:val="22"/>
        </w:rPr>
        <w:t>PLS Faculty Dinners</w:t>
      </w:r>
    </w:p>
    <w:p w14:paraId="4F4F48AA" w14:textId="4B500F88" w:rsidR="00AB301B" w:rsidRDefault="00AB301B" w:rsidP="00B31EB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Recruitment events </w:t>
      </w:r>
    </w:p>
    <w:p w14:paraId="5970A94C" w14:textId="593FD264" w:rsidR="00AB301B" w:rsidRDefault="00AB301B" w:rsidP="00B31EB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Career fair/postgraduate/fellowship interviews (interviews do not need to be entered into co-curricular system) </w:t>
      </w:r>
    </w:p>
    <w:p w14:paraId="0932B4F2" w14:textId="4A7A2021" w:rsidR="00AB301B" w:rsidRPr="00EF3228" w:rsidRDefault="00AB301B" w:rsidP="00B31EB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Professional development events (</w:t>
      </w:r>
      <w:r w:rsidR="00227C6F">
        <w:rPr>
          <w:sz w:val="22"/>
        </w:rPr>
        <w:t>outside of PharmD curriculum</w:t>
      </w:r>
      <w:r>
        <w:rPr>
          <w:sz w:val="22"/>
        </w:rPr>
        <w:t xml:space="preserve">) </w:t>
      </w:r>
    </w:p>
    <w:p w14:paraId="349F5A24" w14:textId="15E3671A" w:rsidR="000C307C" w:rsidRPr="00EF3228" w:rsidRDefault="000C307C" w:rsidP="000C307C">
      <w:pPr>
        <w:rPr>
          <w:sz w:val="22"/>
        </w:rPr>
      </w:pPr>
    </w:p>
    <w:p w14:paraId="4FF6FF93" w14:textId="3B9E01C7" w:rsidR="000C307C" w:rsidRPr="00EF3228" w:rsidRDefault="000C307C" w:rsidP="000C307C">
      <w:pPr>
        <w:rPr>
          <w:sz w:val="22"/>
        </w:rPr>
      </w:pPr>
      <w:r w:rsidRPr="00EF3228">
        <w:rPr>
          <w:sz w:val="22"/>
        </w:rPr>
        <w:t xml:space="preserve">*Examples of activities that </w:t>
      </w:r>
      <w:r w:rsidRPr="00EF3228">
        <w:rPr>
          <w:b/>
          <w:sz w:val="22"/>
        </w:rPr>
        <w:t>do not</w:t>
      </w:r>
      <w:r w:rsidRPr="00EF3228">
        <w:rPr>
          <w:sz w:val="22"/>
        </w:rPr>
        <w:t xml:space="preserve"> meet the requirements from ACPE Standards 3 &amp; 4 include </w:t>
      </w:r>
      <w:r w:rsidR="00F6578C" w:rsidRPr="00EF3228">
        <w:rPr>
          <w:sz w:val="22"/>
        </w:rPr>
        <w:t xml:space="preserve">attending </w:t>
      </w:r>
      <w:r w:rsidRPr="00EF3228">
        <w:rPr>
          <w:sz w:val="22"/>
        </w:rPr>
        <w:t xml:space="preserve">social </w:t>
      </w:r>
      <w:r w:rsidR="00F6578C" w:rsidRPr="00EF3228">
        <w:rPr>
          <w:sz w:val="22"/>
        </w:rPr>
        <w:t xml:space="preserve">or fundraising </w:t>
      </w:r>
      <w:r w:rsidRPr="00EF3228">
        <w:rPr>
          <w:sz w:val="22"/>
        </w:rPr>
        <w:t xml:space="preserve">events </w:t>
      </w:r>
      <w:r w:rsidR="00F6578C" w:rsidRPr="00EF3228">
        <w:rPr>
          <w:sz w:val="22"/>
        </w:rPr>
        <w:t>(however contributions to the planning of these events is considered a qualified activity)</w:t>
      </w:r>
    </w:p>
    <w:p w14:paraId="56A3439A" w14:textId="3C830C65" w:rsidR="00570F8C" w:rsidRDefault="00570F8C" w:rsidP="00F6578C">
      <w:bookmarkStart w:id="0" w:name="_GoBack"/>
      <w:bookmarkEnd w:id="0"/>
    </w:p>
    <w:sectPr w:rsidR="00570F8C" w:rsidSect="000C3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388C" w14:textId="77777777" w:rsidR="00D55E9E" w:rsidRDefault="00D55E9E" w:rsidP="003A5D96">
      <w:r>
        <w:separator/>
      </w:r>
    </w:p>
  </w:endnote>
  <w:endnote w:type="continuationSeparator" w:id="0">
    <w:p w14:paraId="1176DE0C" w14:textId="77777777" w:rsidR="00D55E9E" w:rsidRDefault="00D55E9E" w:rsidP="003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7633" w14:textId="77777777" w:rsidR="00D55E9E" w:rsidRDefault="00D55E9E" w:rsidP="003A5D96">
      <w:r>
        <w:separator/>
      </w:r>
    </w:p>
  </w:footnote>
  <w:footnote w:type="continuationSeparator" w:id="0">
    <w:p w14:paraId="292C7D35" w14:textId="77777777" w:rsidR="00D55E9E" w:rsidRDefault="00D55E9E" w:rsidP="003A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24B5"/>
    <w:multiLevelType w:val="hybridMultilevel"/>
    <w:tmpl w:val="320EAE2E"/>
    <w:lvl w:ilvl="0" w:tplc="FE92E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590E"/>
    <w:multiLevelType w:val="hybridMultilevel"/>
    <w:tmpl w:val="3A2C3E20"/>
    <w:lvl w:ilvl="0" w:tplc="D0F04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B5"/>
    <w:rsid w:val="00006791"/>
    <w:rsid w:val="000213C4"/>
    <w:rsid w:val="000C2C52"/>
    <w:rsid w:val="000C307C"/>
    <w:rsid w:val="0011709C"/>
    <w:rsid w:val="00187660"/>
    <w:rsid w:val="00227C6F"/>
    <w:rsid w:val="00237DDF"/>
    <w:rsid w:val="0028705B"/>
    <w:rsid w:val="002B4AFD"/>
    <w:rsid w:val="00342DB3"/>
    <w:rsid w:val="00345308"/>
    <w:rsid w:val="003A5D96"/>
    <w:rsid w:val="003E7681"/>
    <w:rsid w:val="00442C31"/>
    <w:rsid w:val="00570F8C"/>
    <w:rsid w:val="00626204"/>
    <w:rsid w:val="0063429D"/>
    <w:rsid w:val="00784EEF"/>
    <w:rsid w:val="0083287E"/>
    <w:rsid w:val="00934AB5"/>
    <w:rsid w:val="00943CC7"/>
    <w:rsid w:val="00992E5E"/>
    <w:rsid w:val="009A3B3D"/>
    <w:rsid w:val="009F4D44"/>
    <w:rsid w:val="00A01A95"/>
    <w:rsid w:val="00A72EB2"/>
    <w:rsid w:val="00AB301B"/>
    <w:rsid w:val="00B12833"/>
    <w:rsid w:val="00B31EB5"/>
    <w:rsid w:val="00C3057B"/>
    <w:rsid w:val="00D10994"/>
    <w:rsid w:val="00D55E9E"/>
    <w:rsid w:val="00D85EFA"/>
    <w:rsid w:val="00ED1E3F"/>
    <w:rsid w:val="00EE5330"/>
    <w:rsid w:val="00EF3228"/>
    <w:rsid w:val="00F6578C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34890"/>
  <w15:chartTrackingRefBased/>
  <w15:docId w15:val="{48E9E905-1A34-0049-87D1-38E7E6C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96"/>
  </w:style>
  <w:style w:type="paragraph" w:styleId="Footer">
    <w:name w:val="footer"/>
    <w:basedOn w:val="Normal"/>
    <w:link w:val="FooterChar"/>
    <w:uiPriority w:val="99"/>
    <w:unhideWhenUsed/>
    <w:rsid w:val="003A5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96"/>
  </w:style>
  <w:style w:type="character" w:styleId="CommentReference">
    <w:name w:val="annotation reference"/>
    <w:basedOn w:val="DefaultParagraphFont"/>
    <w:uiPriority w:val="99"/>
    <w:semiHidden/>
    <w:unhideWhenUsed/>
    <w:rsid w:val="00B1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Raber</cp:lastModifiedBy>
  <cp:revision>4</cp:revision>
  <dcterms:created xsi:type="dcterms:W3CDTF">2020-09-17T16:10:00Z</dcterms:created>
  <dcterms:modified xsi:type="dcterms:W3CDTF">2020-09-17T18:25:00Z</dcterms:modified>
</cp:coreProperties>
</file>